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9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05"/>
        <w:gridCol w:w="2300"/>
        <w:tblGridChange w:id="0">
          <w:tblGrid>
            <w:gridCol w:w="3605"/>
            <w:gridCol w:w="230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Designated 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Disclosure Category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Members of the Board of Directors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General Manager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Board Secretary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Consultants*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4zu0537d9q0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DISCLOSURE CATEGORIES – PART 2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omp5rarno8m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Category 1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Persons designated in </w:t>
      </w:r>
      <w:r w:rsidDel="00000000" w:rsidR="00000000" w:rsidRPr="00000000">
        <w:rPr>
          <w:b w:val="1"/>
          <w:bCs w:val="1"/>
          <w:rtl w:val="0"/>
        </w:rPr>
        <w:t xml:space="preserve">Category 1</w:t>
      </w:r>
      <w:r w:rsidDel="00000000" w:rsidR="00000000" w:rsidRPr="00000000">
        <w:rPr>
          <w:rtl w:val="0"/>
        </w:rPr>
        <w:t xml:space="preserve"> shall disclose: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(a)</w:t>
      </w:r>
      <w:r w:rsidDel="00000000" w:rsidR="00000000" w:rsidRPr="00000000">
        <w:rPr>
          <w:rtl w:val="0"/>
        </w:rPr>
        <w:t xml:space="preserve"> All interests in real property located within the jurisdiction of the District.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(b)</w:t>
      </w:r>
      <w:r w:rsidDel="00000000" w:rsidR="00000000" w:rsidRPr="00000000">
        <w:rPr>
          <w:rtl w:val="0"/>
        </w:rPr>
        <w:t xml:space="preserve"> Investments and business positions in business entities, and income from sources, that engage in the acquisition or disposal of real property within the jurisdiction of the District.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(c)</w:t>
      </w:r>
      <w:r w:rsidDel="00000000" w:rsidR="00000000" w:rsidRPr="00000000">
        <w:rPr>
          <w:rtl w:val="0"/>
        </w:rPr>
        <w:t xml:space="preserve"> Investments and business positions in business entities, and income from sources, that: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Contract with the District;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Manufacture, sell, lease, or provide supplies, materials, machinery, equipment, or services of the type utilized by the District; or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May foreseeably be materially affected by decisions made by the designated employee.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jmaoxi9nb3ci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Category 2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Consultants shall disclose all sources of income, investments, business positions, and interests in real property, subject to the following: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General Manager of the District may determine in writing that a particular consultant, although occupying a designated position, performs duties that are limited in scope and, therefore, is not required to fully comply with the disclosure requirements of this category. Such written determination shall include a description of the consultant's duties, the extent of the consultant's disclosure requirements, and shall be retained as a public record.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5nozh0yoysmx" w:id="3"/>
      <w:bookmarkEnd w:id="3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Consultants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following positions are included in the term </w:t>
      </w:r>
      <w:r w:rsidDel="00000000" w:rsidR="00000000" w:rsidRPr="00000000">
        <w:rPr>
          <w:b w:val="1"/>
          <w:bCs w:val="1"/>
          <w:rtl w:val="0"/>
        </w:rPr>
        <w:t xml:space="preserve">"Consultants"</w:t>
      </w:r>
      <w:r w:rsidDel="00000000" w:rsidR="00000000" w:rsidRPr="00000000">
        <w:rPr>
          <w:rtl w:val="0"/>
        </w:rPr>
        <w:t xml:space="preserve"> when they make governmental decisions or serve in a staff capacity with the District: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District Legal Counsel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District Engineer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Auditor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Financial Consultant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Grant Administrator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other consultant who makes, participates in making, or exercises governmental decision-making authority as defined by the Political Reform Act and FPPC regulations.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