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40" w:lineRule="auto"/>
        <w:ind w:left="720" w:right="-720" w:hanging="810"/>
        <w:rPr>
          <w:b w:val="1"/>
          <w:bCs w:val="1"/>
          <w:color w:val="000000"/>
          <w:sz w:val="26"/>
          <w:szCs w:val="26"/>
        </w:rPr>
      </w:pPr>
      <w:bookmarkStart w:colFirst="0" w:colLast="0" w:name="_heading=h.679a3uprvi8v" w:id="0"/>
      <w:bookmarkEnd w:id="0"/>
      <w:r w:rsidDel="00000000" w:rsidR="00000000" w:rsidRPr="00000000">
        <w:rPr>
          <w:b w:val="1"/>
          <w:bCs w:val="1"/>
          <w:color w:val="000000"/>
          <w:sz w:val="26"/>
          <w:szCs w:val="26"/>
          <w:rtl w:val="0"/>
        </w:rPr>
        <w:t xml:space="preserve">Weott CSD Administrative Report</w:t>
      </w:r>
    </w:p>
    <w:p w:rsidR="00000000" w:rsidDel="00000000" w:rsidP="00000000" w:rsidRDefault="00000000" w:rsidRPr="00000000" w14:paraId="00000002">
      <w:pPr>
        <w:spacing w:after="240" w:before="240" w:line="240" w:lineRule="auto"/>
        <w:rPr>
          <w:sz w:val="20"/>
          <w:szCs w:val="20"/>
        </w:rPr>
      </w:pPr>
      <w:r w:rsidDel="00000000" w:rsidR="00000000" w:rsidRPr="00000000">
        <w:rPr>
          <w:b w:val="1"/>
          <w:bCs w:val="1"/>
          <w:sz w:val="20"/>
          <w:szCs w:val="20"/>
          <w:rtl w:val="0"/>
        </w:rPr>
        <w:t xml:space="preserve">Prepared By:</w:t>
      </w:r>
      <w:r w:rsidDel="00000000" w:rsidR="00000000" w:rsidRPr="00000000">
        <w:rPr>
          <w:sz w:val="20"/>
          <w:szCs w:val="20"/>
          <w:rtl w:val="0"/>
        </w:rPr>
        <w:t xml:space="preserve"> Jamie Little</w:t>
        <w:br w:type="textWrapping"/>
        <w:t xml:space="preserve"> </w:t>
      </w:r>
      <w:r w:rsidDel="00000000" w:rsidR="00000000" w:rsidRPr="00000000">
        <w:rPr>
          <w:b w:val="1"/>
          <w:bCs w:val="1"/>
          <w:sz w:val="20"/>
          <w:szCs w:val="20"/>
          <w:rtl w:val="0"/>
        </w:rPr>
        <w:t xml:space="preserve">Meeting Date:</w:t>
      </w:r>
      <w:r w:rsidDel="00000000" w:rsidR="00000000" w:rsidRPr="00000000">
        <w:rPr>
          <w:sz w:val="20"/>
          <w:szCs w:val="20"/>
          <w:rtl w:val="0"/>
        </w:rPr>
        <w:t xml:space="preserve"> July 8, 2026</w:t>
      </w:r>
    </w:p>
    <w:p w:rsidR="00000000" w:rsidDel="00000000" w:rsidP="00000000" w:rsidRDefault="00000000" w:rsidRPr="00000000" w14:paraId="00000003">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240" w:lineRule="auto"/>
        <w:ind w:left="720" w:right="-720" w:hanging="810"/>
        <w:rPr>
          <w:b w:val="1"/>
          <w:bCs w:val="1"/>
          <w:color w:val="000000"/>
          <w:sz w:val="26"/>
          <w:szCs w:val="26"/>
        </w:rPr>
      </w:pPr>
      <w:bookmarkStart w:colFirst="0" w:colLast="0" w:name="_heading=h.1xm5ixd6fze9" w:id="1"/>
      <w:bookmarkEnd w:id="1"/>
      <w:r w:rsidDel="00000000" w:rsidR="00000000" w:rsidRPr="00000000">
        <w:rPr>
          <w:b w:val="1"/>
          <w:bCs w:val="1"/>
          <w:color w:val="000000"/>
          <w:sz w:val="26"/>
          <w:szCs w:val="26"/>
          <w:rtl w:val="0"/>
        </w:rPr>
        <w:t xml:space="preserve">Grants &amp; Capital Projects</w:t>
      </w:r>
    </w:p>
    <w:p w:rsidR="00000000" w:rsidDel="00000000" w:rsidP="00000000" w:rsidRDefault="00000000" w:rsidRPr="00000000" w14:paraId="00000005">
      <w:pPr>
        <w:spacing w:after="240" w:before="240" w:line="240" w:lineRule="auto"/>
        <w:rPr>
          <w:b w:val="1"/>
          <w:bCs w:val="1"/>
        </w:rPr>
      </w:pPr>
      <w:r w:rsidDel="00000000" w:rsidR="00000000" w:rsidRPr="00000000">
        <w:rPr>
          <w:b w:val="1"/>
          <w:bCs w:val="1"/>
          <w:rtl w:val="0"/>
        </w:rPr>
        <w:t xml:space="preserve">• EDWG Tank Project:</w:t>
      </w:r>
    </w:p>
    <w:p w:rsidR="00000000" w:rsidDel="00000000" w:rsidP="00000000" w:rsidRDefault="00000000" w:rsidRPr="00000000" w14:paraId="00000006">
      <w:pPr>
        <w:spacing w:after="240" w:before="240" w:line="240" w:lineRule="auto"/>
        <w:rPr/>
      </w:pPr>
      <w:r w:rsidDel="00000000" w:rsidR="00000000" w:rsidRPr="00000000">
        <w:rPr>
          <w:rtl w:val="0"/>
        </w:rPr>
        <w:t xml:space="preserve">The Division of Financial Assistance (DFA) Expedited Drinking Water Grant (EDWG) Funding Agreement (D2502058) for the second tank project was fully executed on </w:t>
      </w:r>
      <w:r w:rsidDel="00000000" w:rsidR="00000000" w:rsidRPr="00000000">
        <w:rPr>
          <w:b w:val="1"/>
          <w:bCs w:val="1"/>
          <w:rtl w:val="0"/>
        </w:rPr>
        <w:t xml:space="preserve">June 25, 2026</w:t>
      </w:r>
      <w:r w:rsidDel="00000000" w:rsidR="00000000" w:rsidRPr="00000000">
        <w:rPr>
          <w:rtl w:val="0"/>
        </w:rPr>
        <w:t xml:space="preserve">. The District has received the executed funding agreement along with the required Request for Disbursement forms, Allowance Summary Table, and disbursement instructions, allowing the project to move into the implementation phase.</w:t>
      </w:r>
    </w:p>
    <w:p w:rsidR="00000000" w:rsidDel="00000000" w:rsidP="00000000" w:rsidRDefault="00000000" w:rsidRPr="00000000" w14:paraId="00000007">
      <w:pPr>
        <w:spacing w:after="240" w:before="240" w:line="240" w:lineRule="auto"/>
        <w:rPr/>
      </w:pPr>
      <w:r w:rsidDel="00000000" w:rsidR="00000000" w:rsidRPr="00000000">
        <w:rPr>
          <w:rtl w:val="0"/>
        </w:rPr>
        <w:t xml:space="preserve">Work Plan 7315-A, executed on March 13, 2026, remains underway. Current activities include:</w:t>
      </w:r>
    </w:p>
    <w:p w:rsidR="00000000" w:rsidDel="00000000" w:rsidP="00000000" w:rsidRDefault="00000000" w:rsidRPr="00000000" w14:paraId="00000008">
      <w:pPr>
        <w:numPr>
          <w:ilvl w:val="0"/>
          <w:numId w:val="1"/>
        </w:numPr>
        <w:spacing w:after="0" w:afterAutospacing="0" w:before="240" w:line="240" w:lineRule="auto"/>
        <w:ind w:left="720" w:hanging="360"/>
      </w:pPr>
      <w:r w:rsidDel="00000000" w:rsidR="00000000" w:rsidRPr="00000000">
        <w:rPr>
          <w:rtl w:val="0"/>
        </w:rPr>
        <w:t xml:space="preserve">Hydrogeological </w:t>
      </w:r>
      <w:r w:rsidDel="00000000" w:rsidR="00000000" w:rsidRPr="00000000">
        <w:rPr>
          <w:rtl w:val="0"/>
        </w:rPr>
        <w:t xml:space="preserve">survey</w:t>
      </w:r>
      <w:r w:rsidDel="00000000" w:rsidR="00000000" w:rsidRPr="00000000">
        <w:rPr>
          <w:rtl w:val="0"/>
        </w:rPr>
        <w:t xml:space="preserve"> work to identify and evaluate potential test well locations, including water quality sampling of existing wells. Water quality test results came back from the existing well the customer was willing to let us test, with 3 times the legal limit of mercury.  Completion of the survey is anticipated by August 15, 2026.</w:t>
      </w:r>
    </w:p>
    <w:p w:rsidR="00000000" w:rsidDel="00000000" w:rsidP="00000000" w:rsidRDefault="00000000" w:rsidRPr="00000000" w14:paraId="00000009">
      <w:pPr>
        <w:numPr>
          <w:ilvl w:val="0"/>
          <w:numId w:val="1"/>
        </w:numPr>
        <w:spacing w:after="0" w:afterAutospacing="0" w:before="0" w:beforeAutospacing="0" w:line="240" w:lineRule="auto"/>
        <w:ind w:left="720" w:hanging="360"/>
      </w:pPr>
      <w:r w:rsidDel="00000000" w:rsidR="00000000" w:rsidRPr="00000000">
        <w:rPr>
          <w:rtl w:val="0"/>
        </w:rPr>
        <w:t xml:space="preserve">Preparation of test well bid documents following DFA approval of the recommended drilling location for future competitive bidding.</w:t>
      </w:r>
    </w:p>
    <w:p w:rsidR="00000000" w:rsidDel="00000000" w:rsidP="00000000" w:rsidRDefault="00000000" w:rsidRPr="00000000" w14:paraId="0000000A">
      <w:pPr>
        <w:numPr>
          <w:ilvl w:val="0"/>
          <w:numId w:val="1"/>
        </w:numPr>
        <w:spacing w:after="0" w:afterAutospacing="0" w:before="0" w:beforeAutospacing="0" w:line="240" w:lineRule="auto"/>
        <w:ind w:left="720" w:hanging="360"/>
      </w:pPr>
      <w:r w:rsidDel="00000000" w:rsidR="00000000" w:rsidRPr="00000000">
        <w:rPr>
          <w:rtl w:val="0"/>
        </w:rPr>
        <w:t xml:space="preserve">Completion of the FY 2025 audit, which supports both the EDWG Tank Project and future construction funding eligibility. Staff anticipates presenting the FY 2025 audit to the Board in August, after which work will begin on the FY 2026 audit.</w:t>
      </w:r>
    </w:p>
    <w:p w:rsidR="00000000" w:rsidDel="00000000" w:rsidP="00000000" w:rsidRDefault="00000000" w:rsidRPr="00000000" w14:paraId="0000000B">
      <w:pPr>
        <w:numPr>
          <w:ilvl w:val="0"/>
          <w:numId w:val="1"/>
        </w:numPr>
        <w:spacing w:after="240" w:before="0" w:beforeAutospacing="0" w:line="240" w:lineRule="auto"/>
        <w:ind w:left="720" w:hanging="360"/>
      </w:pPr>
      <w:r w:rsidDel="00000000" w:rsidR="00000000" w:rsidRPr="00000000">
        <w:rPr>
          <w:rtl w:val="0"/>
        </w:rPr>
        <w:t xml:space="preserve">Coordination with DFA, Sacramento State Office of Water Programs, SHN Engineering, and project partners regarding project implementation, reimbursement requests, and future construction funding activities.</w:t>
      </w:r>
    </w:p>
    <w:p w:rsidR="00000000" w:rsidDel="00000000" w:rsidP="00000000" w:rsidRDefault="00000000" w:rsidRPr="00000000" w14:paraId="0000000C">
      <w:pPr>
        <w:spacing w:after="240" w:before="240" w:line="240" w:lineRule="auto"/>
        <w:rPr/>
      </w:pPr>
      <w:r w:rsidDel="00000000" w:rsidR="00000000" w:rsidRPr="00000000">
        <w:rPr>
          <w:rtl w:val="0"/>
        </w:rPr>
        <w:t xml:space="preserve">DFA has also indicated that additional work associated with the construction funding application may be incorporated into Work Plan 7315-A as the project progresses. Staff will continue coordinating with all project partners to advance the project toward construction and maintain compliance with all funding requirements.</w:t>
      </w:r>
    </w:p>
    <w:p w:rsidR="00000000" w:rsidDel="00000000" w:rsidP="00000000" w:rsidRDefault="00000000" w:rsidRPr="00000000" w14:paraId="0000000D">
      <w:pPr>
        <w:spacing w:after="240" w:before="240" w:line="240" w:lineRule="auto"/>
        <w:rPr/>
      </w:pPr>
      <w:r w:rsidDel="00000000" w:rsidR="00000000" w:rsidRPr="00000000">
        <w:rPr>
          <w:rtl w:val="0"/>
        </w:rPr>
      </w:r>
    </w:p>
    <w:p w:rsidR="00000000" w:rsidDel="00000000" w:rsidP="00000000" w:rsidRDefault="00000000" w:rsidRPr="00000000" w14:paraId="0000000E">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WWTP Project (USDA PER):</w:t>
        <w:br w:type="textWrapping"/>
      </w:r>
      <w:r w:rsidDel="00000000" w:rsidR="00000000" w:rsidRPr="00000000">
        <w:rPr>
          <w:sz w:val="20"/>
          <w:szCs w:val="20"/>
          <w:rtl w:val="0"/>
        </w:rPr>
        <w:t xml:space="preserve"> Scope revisions remain in progress to meet USDA PER requirements. SHN has requested 5 years of wastewater treatment records. Curren is putting what we have into spreadsheets that I can submit to SHN.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Shut-Offs:</w:t>
        <w:br w:type="textWrapping"/>
      </w:r>
      <w:r w:rsidDel="00000000" w:rsidR="00000000" w:rsidRPr="00000000">
        <w:rPr>
          <w:sz w:val="20"/>
          <w:szCs w:val="20"/>
          <w:rtl w:val="0"/>
        </w:rPr>
        <w:t xml:space="preserve"> 3 parcels remain shut off; payment plans continue to be monitored per District policy.</w:t>
      </w:r>
    </w:p>
    <w:p w:rsidR="00000000" w:rsidDel="00000000" w:rsidP="00000000" w:rsidRDefault="00000000" w:rsidRPr="00000000" w14:paraId="00000010">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Financial Transfers:</w:t>
        <w:br w:type="textWrapping"/>
      </w:r>
      <w:r w:rsidDel="00000000" w:rsidR="00000000" w:rsidRPr="00000000">
        <w:rPr>
          <w:sz w:val="20"/>
          <w:szCs w:val="20"/>
          <w:rtl w:val="0"/>
        </w:rPr>
        <w:t xml:space="preserve"> – Sick/Vacation Liability: $600.00</w:t>
        <w:br w:type="textWrapping"/>
        <w:t xml:space="preserve"> – Annual/Large Bills Reserve: $4,475.00</w:t>
        <w:br w:type="textWrapping"/>
        <w:t xml:space="preserve"> </w:t>
      </w:r>
    </w:p>
    <w:p w:rsidR="00000000" w:rsidDel="00000000" w:rsidP="00000000" w:rsidRDefault="00000000" w:rsidRPr="00000000" w14:paraId="00000011">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Reporting:</w:t>
        <w:br w:type="textWrapping"/>
      </w:r>
      <w:r w:rsidDel="00000000" w:rsidR="00000000" w:rsidRPr="00000000">
        <w:rPr>
          <w:sz w:val="20"/>
          <w:szCs w:val="20"/>
          <w:rtl w:val="0"/>
        </w:rPr>
        <w:t xml:space="preserve"> All required State Water Board and drought-related reporting submitted on time.</w:t>
      </w:r>
    </w:p>
    <w:p w:rsidR="00000000" w:rsidDel="00000000" w:rsidP="00000000" w:rsidRDefault="00000000" w:rsidRPr="00000000" w14:paraId="00000012">
      <w:pPr>
        <w:spacing w:after="240" w:before="240" w:line="240" w:lineRule="auto"/>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Budget Monitoring:</w:t>
        <w:br w:type="textWrapping"/>
      </w:r>
      <w:r w:rsidDel="00000000" w:rsidR="00000000" w:rsidRPr="00000000">
        <w:rPr>
          <w:sz w:val="20"/>
          <w:szCs w:val="20"/>
          <w:rtl w:val="0"/>
        </w:rPr>
        <w:t xml:space="preserve"> Continued tracking of FY 2025 revenues and expenditures; monitoring cash flow and obligations.</w:t>
      </w:r>
    </w:p>
    <w:p w:rsidR="00000000" w:rsidDel="00000000" w:rsidP="00000000" w:rsidRDefault="00000000" w:rsidRPr="00000000" w14:paraId="00000013">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240" w:lineRule="auto"/>
        <w:ind w:left="720" w:right="-720" w:hanging="810"/>
        <w:rPr>
          <w:b w:val="1"/>
          <w:bCs w:val="1"/>
          <w:color w:val="000000"/>
          <w:sz w:val="26"/>
          <w:szCs w:val="26"/>
        </w:rPr>
      </w:pPr>
      <w:bookmarkStart w:colFirst="0" w:colLast="0" w:name="_heading=h.ho9m956jak2" w:id="2"/>
      <w:bookmarkEnd w:id="2"/>
      <w:r w:rsidDel="00000000" w:rsidR="00000000" w:rsidRPr="00000000">
        <w:rPr>
          <w:b w:val="1"/>
          <w:bCs w:val="1"/>
          <w:color w:val="000000"/>
          <w:sz w:val="26"/>
          <w:szCs w:val="26"/>
          <w:rtl w:val="0"/>
        </w:rPr>
        <w:t xml:space="preserve">Infrastructure &amp; Systems</w:t>
      </w:r>
    </w:p>
    <w:p w:rsidR="00000000" w:rsidDel="00000000" w:rsidP="00000000" w:rsidRDefault="00000000" w:rsidRPr="00000000" w14:paraId="00000015">
      <w:pPr>
        <w:pStyle w:val="Heading3"/>
        <w:keepNext w:val="0"/>
        <w:keepLines w:val="0"/>
        <w:spacing w:before="280" w:line="240" w:lineRule="auto"/>
        <w:ind w:left="720" w:right="-720" w:hanging="810"/>
        <w:rPr>
          <w:sz w:val="20"/>
          <w:szCs w:val="20"/>
        </w:rPr>
      </w:pPr>
      <w:bookmarkStart w:colFirst="0" w:colLast="0" w:name="_heading=h.whho3o3g8un9" w:id="3"/>
      <w:bookmarkEnd w:id="3"/>
      <w:r w:rsidDel="00000000" w:rsidR="00000000" w:rsidRPr="00000000">
        <w:rPr>
          <w:sz w:val="20"/>
          <w:szCs w:val="20"/>
          <w:rtl w:val="0"/>
        </w:rPr>
        <w:t xml:space="preserve"> • </w:t>
      </w:r>
      <w:r w:rsidDel="00000000" w:rsidR="00000000" w:rsidRPr="00000000">
        <w:rPr>
          <w:b w:val="1"/>
          <w:bCs w:val="1"/>
          <w:sz w:val="20"/>
          <w:szCs w:val="20"/>
          <w:rtl w:val="0"/>
        </w:rPr>
        <w:t xml:space="preserve">Lift Station:</w:t>
      </w:r>
      <w:r w:rsidDel="00000000" w:rsidR="00000000" w:rsidRPr="00000000">
        <w:rPr>
          <w:sz w:val="20"/>
          <w:szCs w:val="20"/>
          <w:rtl w:val="0"/>
        </w:rPr>
        <w:t xml:space="preserve"> Operating normally</w:t>
      </w:r>
    </w:p>
    <w:p w:rsidR="00000000" w:rsidDel="00000000" w:rsidP="00000000" w:rsidRDefault="00000000" w:rsidRPr="00000000" w14:paraId="00000016">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240" w:lineRule="auto"/>
        <w:ind w:left="720" w:right="-720" w:hanging="810"/>
        <w:rPr>
          <w:b w:val="1"/>
          <w:bCs w:val="1"/>
          <w:color w:val="000000"/>
          <w:sz w:val="26"/>
          <w:szCs w:val="26"/>
        </w:rPr>
      </w:pPr>
      <w:bookmarkStart w:colFirst="0" w:colLast="0" w:name="_heading=h.cpwopsd76r7q" w:id="4"/>
      <w:bookmarkEnd w:id="4"/>
      <w:r w:rsidDel="00000000" w:rsidR="00000000" w:rsidRPr="00000000">
        <w:rPr>
          <w:b w:val="1"/>
          <w:bCs w:val="1"/>
          <w:color w:val="000000"/>
          <w:sz w:val="26"/>
          <w:szCs w:val="26"/>
          <w:rtl w:val="0"/>
        </w:rPr>
        <w:t xml:space="preserve">Financial &amp; Compliance</w:t>
      </w:r>
    </w:p>
    <w:p w:rsidR="00000000" w:rsidDel="00000000" w:rsidP="00000000" w:rsidRDefault="00000000" w:rsidRPr="00000000" w14:paraId="00000018">
      <w:pPr>
        <w:spacing w:after="240" w:before="0" w:line="240" w:lineRule="auto"/>
        <w:ind w:left="90" w:firstLine="0"/>
        <w:rPr>
          <w:sz w:val="20"/>
          <w:szCs w:val="20"/>
        </w:rPr>
      </w:pPr>
      <w:r w:rsidDel="00000000" w:rsidR="00000000" w:rsidRPr="00000000">
        <w:rPr>
          <w:sz w:val="20"/>
          <w:szCs w:val="20"/>
          <w:rtl w:val="0"/>
        </w:rPr>
        <w:br w:type="textWrapping"/>
        <w:t xml:space="preserve">• </w:t>
      </w:r>
      <w:r w:rsidDel="00000000" w:rsidR="00000000" w:rsidRPr="00000000">
        <w:rPr>
          <w:b w:val="1"/>
          <w:bCs w:val="1"/>
          <w:sz w:val="20"/>
          <w:szCs w:val="20"/>
          <w:rtl w:val="0"/>
        </w:rPr>
        <w:t xml:space="preserve">Audit (Fechter &amp; Company):</w:t>
      </w:r>
      <w:r w:rsidDel="00000000" w:rsidR="00000000" w:rsidRPr="00000000">
        <w:rPr>
          <w:sz w:val="20"/>
          <w:szCs w:val="20"/>
          <w:rtl w:val="0"/>
        </w:rPr>
        <w:t xml:space="preserve"> Coordination ongoing; I have uploaded the documents for the audit. We expect to have a draft audit for board review by the end of July.                                                                                                                                                                                                                                                                                                          • </w:t>
      </w:r>
      <w:r w:rsidDel="00000000" w:rsidR="00000000" w:rsidRPr="00000000">
        <w:rPr>
          <w:b w:val="1"/>
          <w:bCs w:val="1"/>
          <w:sz w:val="20"/>
          <w:szCs w:val="20"/>
          <w:rtl w:val="0"/>
        </w:rPr>
        <w:t xml:space="preserve">Compliance / Permits:</w:t>
      </w:r>
      <w:r w:rsidDel="00000000" w:rsidR="00000000" w:rsidRPr="00000000">
        <w:rPr>
          <w:sz w:val="20"/>
          <w:szCs w:val="20"/>
          <w:rtl w:val="0"/>
        </w:rPr>
        <w:t xml:space="preserve"> No new updates</w:t>
        <w:br w:type="textWrapping"/>
        <w:t xml:space="preserve">• </w:t>
      </w:r>
      <w:r w:rsidDel="00000000" w:rsidR="00000000" w:rsidRPr="00000000">
        <w:rPr>
          <w:b w:val="1"/>
          <w:bCs w:val="1"/>
          <w:sz w:val="20"/>
          <w:szCs w:val="20"/>
          <w:rtl w:val="0"/>
        </w:rPr>
        <w:t xml:space="preserve">Bookkeeping:</w:t>
      </w:r>
      <w:r w:rsidDel="00000000" w:rsidR="00000000" w:rsidRPr="00000000">
        <w:rPr>
          <w:sz w:val="20"/>
          <w:szCs w:val="20"/>
          <w:rtl w:val="0"/>
        </w:rPr>
        <w:t xml:space="preserve"> Ongoing reconciliations, account maintenance, and financial organization</w:t>
      </w:r>
    </w:p>
    <w:p w:rsidR="00000000" w:rsidDel="00000000" w:rsidP="00000000" w:rsidRDefault="00000000" w:rsidRPr="00000000" w14:paraId="00000019">
      <w:pPr>
        <w:spacing w:after="240" w:before="240" w:line="240" w:lineRule="auto"/>
        <w:ind w:left="720" w:firstLine="0"/>
        <w:rPr>
          <w:b w:val="1"/>
          <w:bCs w:val="1"/>
          <w:sz w:val="20"/>
          <w:szCs w:val="20"/>
        </w:rPr>
      </w:pPr>
      <w:r w:rsidDel="00000000" w:rsidR="00000000" w:rsidRPr="00000000">
        <w:rPr>
          <w:rtl w:val="0"/>
        </w:rPr>
      </w:r>
    </w:p>
    <w:p w:rsidR="00000000" w:rsidDel="00000000" w:rsidP="00000000" w:rsidRDefault="00000000" w:rsidRPr="00000000" w14:paraId="0000001A">
      <w:pPr>
        <w:spacing w:line="240" w:lineRule="auto"/>
        <w:ind w:left="720" w:right="-720" w:hanging="810"/>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240" w:lineRule="auto"/>
        <w:ind w:left="720" w:right="-720" w:hanging="810"/>
        <w:rPr>
          <w:b w:val="1"/>
          <w:bCs w:val="1"/>
          <w:color w:val="000000"/>
          <w:sz w:val="26"/>
          <w:szCs w:val="26"/>
        </w:rPr>
      </w:pPr>
      <w:bookmarkStart w:colFirst="0" w:colLast="0" w:name="_heading=h.3zgnsa1eaqhu" w:id="5"/>
      <w:bookmarkEnd w:id="5"/>
      <w:r w:rsidDel="00000000" w:rsidR="00000000" w:rsidRPr="00000000">
        <w:rPr>
          <w:b w:val="1"/>
          <w:bCs w:val="1"/>
          <w:color w:val="000000"/>
          <w:sz w:val="26"/>
          <w:szCs w:val="26"/>
          <w:rtl w:val="0"/>
        </w:rPr>
        <w:t xml:space="preserve">Meetings &amp; Coordination</w:t>
      </w:r>
    </w:p>
    <w:p w:rsidR="00000000" w:rsidDel="00000000" w:rsidP="00000000" w:rsidRDefault="00000000" w:rsidRPr="00000000" w14:paraId="0000001C">
      <w:pPr>
        <w:spacing w:after="240" w:before="240" w:line="240" w:lineRule="auto"/>
        <w:rPr>
          <w:sz w:val="20"/>
          <w:szCs w:val="20"/>
        </w:rPr>
      </w:pPr>
      <w:r w:rsidDel="00000000" w:rsidR="00000000" w:rsidRPr="00000000">
        <w:rPr>
          <w:sz w:val="20"/>
          <w:szCs w:val="20"/>
          <w:rtl w:val="0"/>
        </w:rPr>
        <w:t xml:space="preserve">• Participated in OWP/DFA monthly coordination call (June 15, 2026)</w:t>
        <w:br w:type="textWrapping"/>
        <w:t xml:space="preserve"> • Ongoing coordination with:</w:t>
      </w:r>
    </w:p>
    <w:p w:rsidR="00000000" w:rsidDel="00000000" w:rsidP="00000000" w:rsidRDefault="00000000" w:rsidRPr="00000000" w14:paraId="0000001D">
      <w:pPr>
        <w:spacing w:after="240" w:before="240" w:line="240" w:lineRule="auto"/>
        <w:rPr>
          <w:sz w:val="12"/>
          <w:szCs w:val="12"/>
        </w:rPr>
      </w:pPr>
      <w:r w:rsidDel="00000000" w:rsidR="00000000" w:rsidRPr="00000000">
        <w:rPr>
          <w:sz w:val="20"/>
          <w:szCs w:val="20"/>
          <w:rtl w:val="0"/>
        </w:rPr>
        <w:t xml:space="preserve"> Russ Gans (counsel)</w:t>
        <w:br w:type="textWrapping"/>
        <w:t xml:space="preserve"> Sacramento State Office of Water Programs</w:t>
        <w:br w:type="textWrapping"/>
        <w:t xml:space="preserve"> DFA (Division of Financial Assistance)</w:t>
        <w:br w:type="textWrapping"/>
        <w:t xml:space="preserve"> SHN Engineering</w:t>
        <w:br w:type="textWrapping"/>
        <w:t xml:space="preserve"> Fechter &amp; Company (audit services)</w:t>
      </w:r>
      <w:r w:rsidDel="00000000" w:rsidR="00000000" w:rsidRPr="00000000">
        <w:rPr>
          <w:rtl w:val="0"/>
        </w:rPr>
      </w:r>
    </w:p>
    <w:p w:rsidR="00000000" w:rsidDel="00000000" w:rsidP="00000000" w:rsidRDefault="00000000" w:rsidRPr="00000000" w14:paraId="0000001E">
      <w:pPr>
        <w:spacing w:after="240" w:before="240" w:line="240" w:lineRule="auto"/>
        <w:rPr>
          <w:sz w:val="20"/>
          <w:szCs w:val="20"/>
        </w:rPr>
      </w:pPr>
      <w:r w:rsidDel="00000000" w:rsidR="00000000" w:rsidRPr="00000000">
        <w:rPr>
          <w:sz w:val="20"/>
          <w:szCs w:val="20"/>
          <w:rtl w:val="0"/>
        </w:rPr>
        <w:t xml:space="preserve">• Continued communication with regulatory agencies and project partners to support funding, compliance, and project progression</w:t>
      </w:r>
    </w:p>
    <w:p w:rsidR="00000000" w:rsidDel="00000000" w:rsidP="00000000" w:rsidRDefault="00000000" w:rsidRPr="00000000" w14:paraId="0000001F">
      <w:pPr>
        <w:spacing w:after="0" w:before="0" w:line="240" w:lineRule="auto"/>
        <w:ind w:left="720" w:right="-720" w:hanging="810"/>
        <w:rPr>
          <w:sz w:val="20"/>
          <w:szCs w:val="20"/>
        </w:rPr>
      </w:pPr>
      <w:r w:rsidDel="00000000" w:rsidR="00000000" w:rsidRPr="00000000">
        <w:rPr>
          <w:rtl w:val="0"/>
        </w:rPr>
      </w:r>
    </w:p>
    <w:sectPr>
      <w:pgSz w:h="15840" w:w="12240" w:orient="portrait"/>
      <w:pgMar w:bottom="900" w:top="360" w:left="6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3AkbVJa58Zz5zYYPyvBOq4G9Qg==">CgMxLjAyDmguNjc5YTN1cHJ2aTh2Mg5oLjF4bTVpeGQ2ZnplOTINaC5obzltOTU2amFrMjIOaC53aGhvM28zZzh1bjkyDmguY3B3b3BzZDc2cjdxMg5oLjN6Z25zYTFlYXFodTgAciExcm13eEphdHRkZ2kzcnU3eVB1UU9WTmg5VGdLNmNUQUg=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